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21" w:rsidRPr="007C073E" w:rsidRDefault="00715321" w:rsidP="00715321">
      <w:pPr>
        <w:bidi/>
        <w:ind w:left="-421"/>
        <w:jc w:val="center"/>
        <w:rPr>
          <w:rFonts w:ascii="Times New Roman" w:hAnsi="Times New Roman" w:cs="Times New Roman"/>
          <w:b/>
          <w:bCs/>
          <w:sz w:val="28"/>
          <w:szCs w:val="28"/>
          <w:rtl/>
          <w:lang w:bidi="ar-JO"/>
        </w:rPr>
      </w:pPr>
      <w:r w:rsidRPr="007C073E">
        <w:rPr>
          <w:rFonts w:ascii="Times New Roman" w:hAnsi="Times New Roman" w:cs="Times New Roman" w:hint="cs"/>
          <w:b/>
          <w:bCs/>
          <w:sz w:val="28"/>
          <w:szCs w:val="28"/>
          <w:rtl/>
          <w:lang w:bidi="ar-JO"/>
        </w:rPr>
        <w:t>معايير الاعتماد الخاصة</w:t>
      </w:r>
    </w:p>
    <w:p w:rsidR="00715321" w:rsidRPr="007C073E" w:rsidRDefault="00715321" w:rsidP="00EB386B">
      <w:pPr>
        <w:bidi/>
        <w:ind w:left="-421"/>
        <w:jc w:val="center"/>
        <w:rPr>
          <w:rFonts w:ascii="Times New Roman" w:hAnsi="Times New Roman" w:cs="Times New Roman"/>
          <w:b/>
          <w:bCs/>
          <w:sz w:val="28"/>
          <w:szCs w:val="28"/>
          <w:rtl/>
          <w:lang w:bidi="ar-JO"/>
        </w:rPr>
      </w:pPr>
      <w:r w:rsidRPr="007C073E">
        <w:rPr>
          <w:rFonts w:ascii="Times New Roman" w:hAnsi="Times New Roman" w:cs="Times New Roman" w:hint="cs"/>
          <w:b/>
          <w:bCs/>
          <w:sz w:val="28"/>
          <w:szCs w:val="28"/>
          <w:rtl/>
          <w:lang w:bidi="ar-JO"/>
        </w:rPr>
        <w:t xml:space="preserve">لتخصص </w:t>
      </w:r>
      <w:r w:rsidR="00EB386B">
        <w:rPr>
          <w:rFonts w:ascii="Times New Roman" w:hAnsi="Times New Roman" w:cs="Times New Roman" w:hint="cs"/>
          <w:b/>
          <w:bCs/>
          <w:sz w:val="28"/>
          <w:szCs w:val="28"/>
          <w:rtl/>
          <w:lang w:bidi="ar-JO"/>
        </w:rPr>
        <w:t>علم انحراف وجريمة</w:t>
      </w:r>
    </w:p>
    <w:p w:rsidR="00715321" w:rsidRDefault="00715321" w:rsidP="00715321">
      <w:pPr>
        <w:bidi/>
        <w:ind w:left="-421"/>
        <w:jc w:val="center"/>
        <w:rPr>
          <w:rFonts w:ascii="Times New Roman" w:hAnsi="Times New Roman" w:cs="Times New Roman"/>
          <w:b/>
          <w:bCs/>
          <w:sz w:val="28"/>
          <w:szCs w:val="28"/>
          <w:rtl/>
          <w:lang w:bidi="ar-JO"/>
        </w:rPr>
      </w:pPr>
      <w:r w:rsidRPr="007C073E">
        <w:rPr>
          <w:rFonts w:ascii="Times New Roman" w:hAnsi="Times New Roman" w:cs="Times New Roman" w:hint="cs"/>
          <w:b/>
          <w:bCs/>
          <w:sz w:val="28"/>
          <w:szCs w:val="28"/>
          <w:rtl/>
          <w:lang w:bidi="ar-JO"/>
        </w:rPr>
        <w:t>ملاحظة: تقرأ هذه المعايير الخاصة مع الإطار العام لتعليمات ومعايير الاعتماد الخاص للتخصصات الإنسانية والعلمية للجامعات والكليات الجامعية العاملة في المملكة الأردنية الهاشمية.</w:t>
      </w:r>
    </w:p>
    <w:p w:rsidR="00715321" w:rsidRDefault="00715321" w:rsidP="00715321">
      <w:pPr>
        <w:bidi/>
        <w:ind w:left="-421"/>
        <w:rPr>
          <w:rFonts w:ascii="Times New Roman" w:hAnsi="Times New Roman" w:cs="Times New Roman"/>
          <w:sz w:val="32"/>
          <w:szCs w:val="32"/>
          <w:lang w:bidi="ar-JO"/>
        </w:rPr>
      </w:pPr>
      <w:r>
        <w:rPr>
          <w:rFonts w:ascii="Times New Roman" w:hAnsi="Times New Roman" w:cs="Times New Roman" w:hint="cs"/>
          <w:b/>
          <w:bCs/>
          <w:sz w:val="32"/>
          <w:szCs w:val="32"/>
          <w:rtl/>
          <w:lang w:bidi="ar-JO"/>
        </w:rPr>
        <w:t>علم انحراف وجريمة:</w:t>
      </w:r>
      <w:r w:rsidRPr="004D22EC">
        <w:rPr>
          <w:rFonts w:ascii="Times New Roman" w:hAnsi="Times New Roman" w:cs="Times New Roman" w:hint="cs"/>
          <w:b/>
          <w:bCs/>
          <w:sz w:val="32"/>
          <w:szCs w:val="32"/>
          <w:rtl/>
          <w:lang w:bidi="ar-JO"/>
        </w:rPr>
        <w:t xml:space="preserve"> </w:t>
      </w:r>
      <w:r w:rsidRPr="00671967">
        <w:rPr>
          <w:rFonts w:ascii="Times New Roman" w:hAnsi="Times New Roman" w:cs="Times New Roman"/>
          <w:sz w:val="32"/>
          <w:szCs w:val="32"/>
          <w:rtl/>
          <w:lang w:bidi="ar-JO"/>
        </w:rPr>
        <w:t xml:space="preserve">الحد الأدنى لعدد الساعات المعتمدة  للخطة الدراسية لنيل درجة </w:t>
      </w:r>
    </w:p>
    <w:p w:rsidR="00715321" w:rsidRPr="00671967" w:rsidRDefault="00715321" w:rsidP="00715321">
      <w:pPr>
        <w:bidi/>
        <w:ind w:left="-421"/>
        <w:rPr>
          <w:rFonts w:ascii="Times New Roman" w:hAnsi="Times New Roman" w:cs="Times New Roman"/>
          <w:sz w:val="32"/>
          <w:szCs w:val="32"/>
          <w:rtl/>
          <w:lang w:bidi="ar-JO"/>
        </w:rPr>
      </w:pPr>
      <w:r w:rsidRPr="00671967">
        <w:rPr>
          <w:rFonts w:ascii="Times New Roman" w:hAnsi="Times New Roman" w:cs="Times New Roman"/>
          <w:sz w:val="32"/>
          <w:szCs w:val="32"/>
          <w:rtl/>
          <w:lang w:bidi="ar-JO"/>
        </w:rPr>
        <w:t xml:space="preserve">البكالوريس في تخصص </w:t>
      </w:r>
      <w:r>
        <w:rPr>
          <w:rFonts w:ascii="Times New Roman" w:hAnsi="Times New Roman" w:cs="Times New Roman" w:hint="cs"/>
          <w:b/>
          <w:bCs/>
          <w:sz w:val="32"/>
          <w:szCs w:val="32"/>
          <w:rtl/>
          <w:lang w:bidi="ar-JO"/>
        </w:rPr>
        <w:t>علم انحراف وجريمة</w:t>
      </w:r>
      <w:r w:rsidRPr="00671967">
        <w:rPr>
          <w:rFonts w:ascii="Times New Roman" w:hAnsi="Times New Roman" w:cs="Times New Roman"/>
          <w:sz w:val="32"/>
          <w:szCs w:val="32"/>
          <w:rtl/>
          <w:lang w:bidi="ar-JO"/>
        </w:rPr>
        <w:t xml:space="preserve"> (</w:t>
      </w:r>
      <w:r>
        <w:rPr>
          <w:rFonts w:ascii="Times New Roman" w:hAnsi="Times New Roman" w:cs="Times New Roman" w:hint="cs"/>
          <w:sz w:val="32"/>
          <w:szCs w:val="32"/>
          <w:rtl/>
          <w:lang w:bidi="ar-JO"/>
        </w:rPr>
        <w:t>132</w:t>
      </w:r>
      <w:r w:rsidR="004B0763">
        <w:rPr>
          <w:rFonts w:ascii="Times New Roman" w:hAnsi="Times New Roman" w:cs="Times New Roman"/>
          <w:sz w:val="32"/>
          <w:szCs w:val="32"/>
          <w:rtl/>
          <w:lang w:bidi="ar-JO"/>
        </w:rPr>
        <w:t xml:space="preserve">) ساعة معتمدة على النحو الآتي </w:t>
      </w:r>
      <w:r w:rsidR="004B0763">
        <w:rPr>
          <w:rFonts w:ascii="Times New Roman" w:hAnsi="Times New Roman" w:cs="Times New Roman"/>
          <w:sz w:val="32"/>
          <w:szCs w:val="32"/>
          <w:lang w:bidi="ar-JO"/>
        </w:rPr>
        <w:t>:</w:t>
      </w:r>
    </w:p>
    <w:p w:rsidR="00715321" w:rsidRPr="00671967" w:rsidRDefault="00715321" w:rsidP="00715321">
      <w:pPr>
        <w:numPr>
          <w:ilvl w:val="0"/>
          <w:numId w:val="9"/>
        </w:numPr>
        <w:bidi/>
        <w:ind w:left="146"/>
        <w:jc w:val="both"/>
        <w:rPr>
          <w:rFonts w:ascii="Times New Roman" w:hAnsi="Times New Roman" w:cs="Times New Roman"/>
          <w:b/>
          <w:bCs/>
          <w:sz w:val="32"/>
          <w:szCs w:val="32"/>
          <w:rtl/>
          <w:lang w:bidi="ar-JO"/>
        </w:rPr>
      </w:pPr>
      <w:r w:rsidRPr="00671967">
        <w:rPr>
          <w:rFonts w:ascii="Times New Roman" w:hAnsi="Times New Roman" w:cs="Times New Roman"/>
          <w:b/>
          <w:bCs/>
          <w:sz w:val="32"/>
          <w:szCs w:val="32"/>
          <w:rtl/>
          <w:lang w:bidi="ar-JO"/>
        </w:rPr>
        <w:t>المجا</w:t>
      </w:r>
      <w:r>
        <w:rPr>
          <w:rFonts w:ascii="Times New Roman" w:hAnsi="Times New Roman" w:cs="Times New Roman"/>
          <w:b/>
          <w:bCs/>
          <w:sz w:val="32"/>
          <w:szCs w:val="32"/>
          <w:rtl/>
          <w:lang w:bidi="ar-JO"/>
        </w:rPr>
        <w:t>لات النظرية الأساسية الإجبارية:</w:t>
      </w:r>
    </w:p>
    <w:tbl>
      <w:tblPr>
        <w:bidiVisual/>
        <w:tblW w:w="10170" w:type="dxa"/>
        <w:tblInd w:w="-43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tblPr>
      <w:tblGrid>
        <w:gridCol w:w="6726"/>
        <w:gridCol w:w="3444"/>
      </w:tblGrid>
      <w:tr w:rsidR="00F74E0B" w:rsidRPr="00E70E7B" w:rsidTr="00B97F2B">
        <w:trPr>
          <w:trHeight w:val="398"/>
        </w:trPr>
        <w:tc>
          <w:tcPr>
            <w:tcW w:w="6726" w:type="dxa"/>
            <w:tcBorders>
              <w:top w:val="double" w:sz="12" w:space="0" w:color="auto"/>
              <w:bottom w:val="double" w:sz="12" w:space="0" w:color="auto"/>
            </w:tcBorders>
            <w:shd w:val="pct20" w:color="auto" w:fill="auto"/>
          </w:tcPr>
          <w:p w:rsidR="00F74E0B" w:rsidRPr="00E70E7B" w:rsidRDefault="00F74E0B" w:rsidP="00F90C91">
            <w:pPr>
              <w:ind w:left="900" w:hanging="360"/>
              <w:jc w:val="center"/>
              <w:rPr>
                <w:rFonts w:cs="Simplified Arabic"/>
                <w:b/>
                <w:bCs/>
                <w:sz w:val="28"/>
                <w:szCs w:val="28"/>
                <w:rtl/>
                <w:lang w:bidi="ar-JO"/>
              </w:rPr>
            </w:pPr>
            <w:r w:rsidRPr="00E70E7B">
              <w:rPr>
                <w:rFonts w:cs="Simplified Arabic" w:hint="cs"/>
                <w:b/>
                <w:bCs/>
                <w:sz w:val="28"/>
                <w:szCs w:val="28"/>
                <w:rtl/>
                <w:lang w:bidi="ar-JO"/>
              </w:rPr>
              <w:t>المجال المعرفي</w:t>
            </w:r>
          </w:p>
        </w:tc>
        <w:tc>
          <w:tcPr>
            <w:tcW w:w="3444" w:type="dxa"/>
            <w:tcBorders>
              <w:top w:val="double" w:sz="12" w:space="0" w:color="auto"/>
              <w:bottom w:val="double" w:sz="12" w:space="0" w:color="auto"/>
            </w:tcBorders>
            <w:shd w:val="pct20" w:color="auto" w:fill="auto"/>
          </w:tcPr>
          <w:p w:rsidR="00F74E0B" w:rsidRPr="00E70E7B" w:rsidRDefault="00F74E0B" w:rsidP="00F90C91">
            <w:pPr>
              <w:jc w:val="center"/>
              <w:rPr>
                <w:rFonts w:cs="Simplified Arabic"/>
                <w:b/>
                <w:bCs/>
                <w:sz w:val="28"/>
                <w:szCs w:val="28"/>
                <w:rtl/>
                <w:lang w:bidi="ar-JO"/>
              </w:rPr>
            </w:pPr>
            <w:r w:rsidRPr="00E70E7B">
              <w:rPr>
                <w:rFonts w:cs="Simplified Arabic" w:hint="cs"/>
                <w:b/>
                <w:bCs/>
                <w:sz w:val="28"/>
                <w:szCs w:val="28"/>
                <w:rtl/>
                <w:lang w:bidi="ar-JO"/>
              </w:rPr>
              <w:t>الحد الأدنى للساعات المعتمدة</w:t>
            </w:r>
          </w:p>
        </w:tc>
      </w:tr>
      <w:tr w:rsidR="00F74E0B" w:rsidRPr="00E70E7B" w:rsidTr="00CC580D">
        <w:trPr>
          <w:trHeight w:val="1008"/>
        </w:trPr>
        <w:tc>
          <w:tcPr>
            <w:tcW w:w="6726" w:type="dxa"/>
            <w:tcBorders>
              <w:top w:val="double" w:sz="12" w:space="0" w:color="auto"/>
            </w:tcBorders>
          </w:tcPr>
          <w:p w:rsidR="00F74E0B" w:rsidRPr="00B42C98" w:rsidRDefault="00715321" w:rsidP="00A66090">
            <w:pPr>
              <w:bidi/>
              <w:spacing w:after="0" w:line="240" w:lineRule="auto"/>
              <w:ind w:left="1" w:hanging="1"/>
              <w:jc w:val="lowKashida"/>
              <w:rPr>
                <w:rFonts w:cs="Simplified Arabic"/>
                <w:b/>
                <w:bCs/>
                <w:sz w:val="26"/>
                <w:szCs w:val="26"/>
                <w:rtl/>
                <w:lang w:bidi="ar-JO"/>
              </w:rPr>
            </w:pPr>
            <w:r w:rsidRPr="00B42C98">
              <w:rPr>
                <w:rFonts w:cs="Simplified Arabic" w:hint="cs"/>
                <w:b/>
                <w:bCs/>
                <w:sz w:val="26"/>
                <w:szCs w:val="26"/>
                <w:rtl/>
                <w:lang w:bidi="ar-JO"/>
              </w:rPr>
              <w:t>المجال العام النظري للجريمة</w:t>
            </w:r>
            <w:r w:rsidR="00FA64D6" w:rsidRPr="00B42C98">
              <w:rPr>
                <w:rFonts w:cs="Simplified Arabic" w:hint="cs"/>
                <w:b/>
                <w:bCs/>
                <w:sz w:val="26"/>
                <w:szCs w:val="26"/>
                <w:rtl/>
                <w:lang w:bidi="ar-JO"/>
              </w:rPr>
              <w:t xml:space="preserve">: مدخل الى علم الجريمة، نظريات علم الجريمة، علم </w:t>
            </w:r>
            <w:r w:rsidR="00A66090">
              <w:rPr>
                <w:rFonts w:cs="Simplified Arabic" w:hint="cs"/>
                <w:b/>
                <w:bCs/>
                <w:sz w:val="26"/>
                <w:szCs w:val="26"/>
                <w:rtl/>
                <w:lang w:bidi="ar-JO"/>
              </w:rPr>
              <w:t>الضحايا</w:t>
            </w:r>
            <w:r w:rsidR="00FA64D6" w:rsidRPr="00B42C98">
              <w:rPr>
                <w:rFonts w:cs="Simplified Arabic" w:hint="cs"/>
                <w:b/>
                <w:bCs/>
                <w:sz w:val="26"/>
                <w:szCs w:val="26"/>
                <w:rtl/>
                <w:lang w:bidi="ar-JO"/>
              </w:rPr>
              <w:t>، علم النفس الجنائي، المرأة والجريمة، العولمة والجريمة</w:t>
            </w:r>
            <w:r w:rsidR="00BD4120" w:rsidRPr="00B42C98">
              <w:rPr>
                <w:rFonts w:cs="Simplified Arabic" w:hint="cs"/>
                <w:b/>
                <w:bCs/>
                <w:sz w:val="26"/>
                <w:szCs w:val="26"/>
                <w:rtl/>
                <w:lang w:bidi="ar-JO"/>
              </w:rPr>
              <w:t>.</w:t>
            </w:r>
            <w:r w:rsidR="00FA64D6" w:rsidRPr="00B42C98">
              <w:rPr>
                <w:rFonts w:cs="Simplified Arabic" w:hint="cs"/>
                <w:b/>
                <w:bCs/>
                <w:sz w:val="26"/>
                <w:szCs w:val="26"/>
                <w:rtl/>
                <w:lang w:bidi="ar-JO"/>
              </w:rPr>
              <w:t xml:space="preserve"> </w:t>
            </w:r>
          </w:p>
        </w:tc>
        <w:tc>
          <w:tcPr>
            <w:tcW w:w="3444" w:type="dxa"/>
            <w:tcBorders>
              <w:top w:val="double" w:sz="12" w:space="0" w:color="auto"/>
            </w:tcBorders>
          </w:tcPr>
          <w:p w:rsidR="0087003B" w:rsidRPr="00E70E7B" w:rsidRDefault="00BD4120" w:rsidP="00F443C6">
            <w:pPr>
              <w:spacing w:after="0"/>
              <w:ind w:left="907" w:hanging="360"/>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(18) ساعة معتمدة</w:t>
            </w:r>
          </w:p>
        </w:tc>
      </w:tr>
      <w:tr w:rsidR="00F74E0B" w:rsidRPr="00E70E7B" w:rsidTr="00CC580D">
        <w:trPr>
          <w:trHeight w:val="1070"/>
        </w:trPr>
        <w:tc>
          <w:tcPr>
            <w:tcW w:w="6726" w:type="dxa"/>
          </w:tcPr>
          <w:p w:rsidR="00F74E0B" w:rsidRPr="00B42C98" w:rsidRDefault="00B42C98" w:rsidP="0035292E">
            <w:pPr>
              <w:bidi/>
              <w:spacing w:after="0" w:line="240" w:lineRule="auto"/>
              <w:jc w:val="lowKashida"/>
              <w:rPr>
                <w:rFonts w:cs="Simplified Arabic"/>
                <w:b/>
                <w:bCs/>
                <w:sz w:val="26"/>
                <w:szCs w:val="26"/>
                <w:rtl/>
                <w:lang w:bidi="ar-JO"/>
              </w:rPr>
            </w:pPr>
            <w:r w:rsidRPr="00B42C98">
              <w:rPr>
                <w:rFonts w:cs="Simplified Arabic" w:hint="cs"/>
                <w:b/>
                <w:bCs/>
                <w:sz w:val="26"/>
                <w:szCs w:val="26"/>
                <w:rtl/>
                <w:lang w:bidi="ar-JO"/>
              </w:rPr>
              <w:t>المجال العام للأحداث : انحراف الأحداث، عدالة الأحداث</w:t>
            </w:r>
            <w:r>
              <w:rPr>
                <w:rFonts w:cs="Simplified Arabic" w:hint="cs"/>
                <w:b/>
                <w:bCs/>
                <w:sz w:val="26"/>
                <w:szCs w:val="26"/>
                <w:rtl/>
                <w:lang w:bidi="ar-JO"/>
              </w:rPr>
              <w:t>.</w:t>
            </w:r>
          </w:p>
        </w:tc>
        <w:tc>
          <w:tcPr>
            <w:tcW w:w="3444" w:type="dxa"/>
          </w:tcPr>
          <w:p w:rsidR="0087003B" w:rsidRPr="00E70E7B" w:rsidRDefault="007E582E" w:rsidP="006A0C32">
            <w:pPr>
              <w:spacing w:after="0"/>
              <w:ind w:left="907" w:hanging="360"/>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(6) ساعات معتمدة</w:t>
            </w:r>
          </w:p>
        </w:tc>
      </w:tr>
      <w:tr w:rsidR="00F74E0B" w:rsidRPr="00E70E7B" w:rsidTr="00CC580D">
        <w:trPr>
          <w:trHeight w:val="890"/>
        </w:trPr>
        <w:tc>
          <w:tcPr>
            <w:tcW w:w="6726" w:type="dxa"/>
          </w:tcPr>
          <w:p w:rsidR="00F74E0B" w:rsidRPr="00B42C98" w:rsidRDefault="00B42C98" w:rsidP="00FE551D">
            <w:pPr>
              <w:bidi/>
              <w:spacing w:after="0" w:line="240" w:lineRule="auto"/>
              <w:jc w:val="lowKashida"/>
              <w:rPr>
                <w:rFonts w:cs="Simplified Arabic"/>
                <w:b/>
                <w:bCs/>
                <w:sz w:val="24"/>
                <w:szCs w:val="24"/>
                <w:rtl/>
                <w:lang w:bidi="ar-JO"/>
              </w:rPr>
            </w:pPr>
            <w:r w:rsidRPr="00B42C98">
              <w:rPr>
                <w:rFonts w:cs="Simplified Arabic" w:hint="cs"/>
                <w:b/>
                <w:bCs/>
                <w:sz w:val="26"/>
                <w:szCs w:val="26"/>
                <w:rtl/>
                <w:lang w:bidi="ar-JO"/>
              </w:rPr>
              <w:t>المجال العام المقارن : علم الجريمة المقارن، نظم العدالة الجنائية المقارنة</w:t>
            </w:r>
            <w:r>
              <w:rPr>
                <w:rFonts w:cs="Simplified Arabic" w:hint="cs"/>
                <w:b/>
                <w:bCs/>
                <w:sz w:val="24"/>
                <w:szCs w:val="24"/>
                <w:rtl/>
                <w:lang w:bidi="ar-JO"/>
              </w:rPr>
              <w:t xml:space="preserve"> .</w:t>
            </w:r>
          </w:p>
        </w:tc>
        <w:tc>
          <w:tcPr>
            <w:tcW w:w="3444" w:type="dxa"/>
          </w:tcPr>
          <w:p w:rsidR="00FE551D" w:rsidRPr="00E70E7B" w:rsidRDefault="007E582E" w:rsidP="00F027F7">
            <w:pPr>
              <w:spacing w:after="0"/>
              <w:ind w:left="907" w:hanging="360"/>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(6) ساعات معتمدة</w:t>
            </w:r>
          </w:p>
        </w:tc>
      </w:tr>
      <w:tr w:rsidR="00F74E0B" w:rsidRPr="00E70E7B" w:rsidTr="00CC580D">
        <w:trPr>
          <w:trHeight w:val="1160"/>
        </w:trPr>
        <w:tc>
          <w:tcPr>
            <w:tcW w:w="6726" w:type="dxa"/>
          </w:tcPr>
          <w:p w:rsidR="00F74E0B" w:rsidRPr="007E582E" w:rsidRDefault="007E582E" w:rsidP="002D35C9">
            <w:pPr>
              <w:bidi/>
              <w:spacing w:after="0" w:line="240" w:lineRule="auto"/>
              <w:ind w:left="1" w:hanging="1"/>
              <w:jc w:val="lowKashida"/>
              <w:rPr>
                <w:rFonts w:cs="Simplified Arabic"/>
                <w:b/>
                <w:bCs/>
                <w:sz w:val="26"/>
                <w:szCs w:val="26"/>
                <w:rtl/>
                <w:lang w:bidi="ar-JO"/>
              </w:rPr>
            </w:pPr>
            <w:r w:rsidRPr="007E582E">
              <w:rPr>
                <w:rFonts w:cs="Simplified Arabic" w:hint="cs"/>
                <w:b/>
                <w:bCs/>
                <w:sz w:val="26"/>
                <w:szCs w:val="26"/>
                <w:rtl/>
                <w:lang w:bidi="ar-JO"/>
              </w:rPr>
              <w:t xml:space="preserve">المجال العام في الإصلاح : التأهيل والإصلاح، السياسات </w:t>
            </w:r>
            <w:r w:rsidR="002D35C9">
              <w:rPr>
                <w:rFonts w:cs="Simplified Arabic" w:hint="cs"/>
                <w:b/>
                <w:bCs/>
                <w:sz w:val="26"/>
                <w:szCs w:val="26"/>
                <w:rtl/>
                <w:lang w:bidi="ar-JO"/>
              </w:rPr>
              <w:t>الاصلاحي</w:t>
            </w:r>
            <w:r w:rsidRPr="007E582E">
              <w:rPr>
                <w:rFonts w:cs="Simplified Arabic" w:hint="cs"/>
                <w:b/>
                <w:bCs/>
                <w:sz w:val="26"/>
                <w:szCs w:val="26"/>
                <w:rtl/>
                <w:lang w:bidi="ar-JO"/>
              </w:rPr>
              <w:t xml:space="preserve">ة، المؤسسات العقابية، القانون والمجتمع. </w:t>
            </w:r>
          </w:p>
          <w:p w:rsidR="007E582E" w:rsidRPr="00E70E7B" w:rsidRDefault="007E582E" w:rsidP="007E582E">
            <w:pPr>
              <w:bidi/>
              <w:spacing w:after="0" w:line="240" w:lineRule="auto"/>
              <w:jc w:val="lowKashida"/>
              <w:rPr>
                <w:rFonts w:cs="Simplified Arabic"/>
                <w:b/>
                <w:bCs/>
                <w:sz w:val="24"/>
                <w:szCs w:val="24"/>
                <w:rtl/>
                <w:lang w:bidi="ar-JO"/>
              </w:rPr>
            </w:pPr>
          </w:p>
        </w:tc>
        <w:tc>
          <w:tcPr>
            <w:tcW w:w="3444" w:type="dxa"/>
          </w:tcPr>
          <w:p w:rsidR="004B3D52" w:rsidRPr="00E70E7B" w:rsidRDefault="007E582E" w:rsidP="00F027F7">
            <w:pPr>
              <w:spacing w:after="0"/>
              <w:ind w:left="907" w:hanging="360"/>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(12) ساعة معتمدة</w:t>
            </w:r>
          </w:p>
        </w:tc>
      </w:tr>
      <w:tr w:rsidR="00715321" w:rsidRPr="00E70E7B" w:rsidTr="00CC580D">
        <w:trPr>
          <w:trHeight w:val="1160"/>
        </w:trPr>
        <w:tc>
          <w:tcPr>
            <w:tcW w:w="6726" w:type="dxa"/>
          </w:tcPr>
          <w:p w:rsidR="00715321" w:rsidRPr="007E582E" w:rsidRDefault="007E582E" w:rsidP="00D8120A">
            <w:pPr>
              <w:bidi/>
              <w:spacing w:after="0" w:line="240" w:lineRule="auto"/>
              <w:ind w:left="1" w:hanging="1"/>
              <w:jc w:val="lowKashida"/>
              <w:rPr>
                <w:rFonts w:cs="Simplified Arabic"/>
                <w:b/>
                <w:bCs/>
                <w:sz w:val="26"/>
                <w:szCs w:val="26"/>
                <w:rtl/>
                <w:lang w:bidi="ar-JO"/>
              </w:rPr>
            </w:pPr>
            <w:r w:rsidRPr="007E582E">
              <w:rPr>
                <w:rFonts w:cs="Simplified Arabic" w:hint="cs"/>
                <w:b/>
                <w:bCs/>
                <w:sz w:val="26"/>
                <w:szCs w:val="26"/>
                <w:rtl/>
                <w:lang w:bidi="ar-JO"/>
              </w:rPr>
              <w:t xml:space="preserve">المجال العام في التنميط : أنماط الجرائم </w:t>
            </w:r>
            <w:r w:rsidR="00D8120A">
              <w:rPr>
                <w:rFonts w:cs="Simplified Arabic" w:hint="cs"/>
                <w:b/>
                <w:bCs/>
                <w:sz w:val="26"/>
                <w:szCs w:val="26"/>
                <w:rtl/>
                <w:lang w:bidi="ar-JO"/>
              </w:rPr>
              <w:t xml:space="preserve">، </w:t>
            </w:r>
            <w:r w:rsidRPr="007E582E">
              <w:rPr>
                <w:rFonts w:cs="Simplified Arabic" w:hint="cs"/>
                <w:b/>
                <w:bCs/>
                <w:sz w:val="26"/>
                <w:szCs w:val="26"/>
                <w:rtl/>
                <w:lang w:bidi="ar-JO"/>
              </w:rPr>
              <w:t>تصنيف المجرمين .</w:t>
            </w:r>
          </w:p>
        </w:tc>
        <w:tc>
          <w:tcPr>
            <w:tcW w:w="3444" w:type="dxa"/>
          </w:tcPr>
          <w:p w:rsidR="00715321" w:rsidRPr="00E70E7B" w:rsidRDefault="007E582E" w:rsidP="00F027F7">
            <w:pPr>
              <w:spacing w:after="0"/>
              <w:ind w:left="907" w:hanging="360"/>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(6) ساعات معتمدة</w:t>
            </w:r>
          </w:p>
        </w:tc>
      </w:tr>
    </w:tbl>
    <w:p w:rsidR="00D96625" w:rsidRDefault="00D96625" w:rsidP="00D96625">
      <w:pPr>
        <w:pStyle w:val="ListParagraph"/>
        <w:bidi/>
        <w:spacing w:after="0" w:line="240" w:lineRule="auto"/>
        <w:ind w:left="0"/>
        <w:jc w:val="lowKashida"/>
        <w:rPr>
          <w:rFonts w:cs="Simplified Arabic"/>
          <w:b/>
          <w:bCs/>
          <w:sz w:val="28"/>
          <w:szCs w:val="28"/>
          <w:rtl/>
          <w:lang w:bidi="ar-JO"/>
        </w:rPr>
      </w:pPr>
    </w:p>
    <w:p w:rsidR="00115D22" w:rsidRDefault="00115D22" w:rsidP="00115D22">
      <w:pPr>
        <w:pStyle w:val="ListParagraph"/>
        <w:bidi/>
        <w:spacing w:after="0" w:line="240" w:lineRule="auto"/>
        <w:ind w:left="0"/>
        <w:jc w:val="lowKashida"/>
        <w:rPr>
          <w:rFonts w:cs="Simplified Arabic"/>
          <w:b/>
          <w:bCs/>
          <w:sz w:val="28"/>
          <w:szCs w:val="28"/>
          <w:rtl/>
          <w:lang w:bidi="ar-JO"/>
        </w:rPr>
      </w:pPr>
    </w:p>
    <w:p w:rsidR="00115D22" w:rsidRDefault="00115D22" w:rsidP="00115D22">
      <w:pPr>
        <w:pStyle w:val="ListParagraph"/>
        <w:bidi/>
        <w:spacing w:after="0" w:line="240" w:lineRule="auto"/>
        <w:ind w:left="0"/>
        <w:jc w:val="lowKashida"/>
        <w:rPr>
          <w:rFonts w:cs="Simplified Arabic"/>
          <w:b/>
          <w:bCs/>
          <w:sz w:val="28"/>
          <w:szCs w:val="28"/>
          <w:rtl/>
          <w:lang w:bidi="ar-JO"/>
        </w:rPr>
      </w:pPr>
    </w:p>
    <w:p w:rsidR="00115D22" w:rsidRDefault="00115D22" w:rsidP="00115D22">
      <w:pPr>
        <w:pStyle w:val="ListParagraph"/>
        <w:bidi/>
        <w:spacing w:after="0" w:line="240" w:lineRule="auto"/>
        <w:ind w:left="0"/>
        <w:jc w:val="lowKashida"/>
        <w:rPr>
          <w:rFonts w:cs="Simplified Arabic"/>
          <w:b/>
          <w:bCs/>
          <w:sz w:val="28"/>
          <w:szCs w:val="28"/>
          <w:rtl/>
          <w:lang w:bidi="ar-JO"/>
        </w:rPr>
      </w:pPr>
    </w:p>
    <w:p w:rsidR="00115D22" w:rsidRDefault="00115D22" w:rsidP="00115D22">
      <w:pPr>
        <w:pStyle w:val="ListParagraph"/>
        <w:bidi/>
        <w:spacing w:after="0" w:line="240" w:lineRule="auto"/>
        <w:ind w:left="0"/>
        <w:jc w:val="lowKashida"/>
        <w:rPr>
          <w:rFonts w:cs="Simplified Arabic"/>
          <w:b/>
          <w:bCs/>
          <w:sz w:val="28"/>
          <w:szCs w:val="28"/>
          <w:rtl/>
          <w:lang w:bidi="ar-JO"/>
        </w:rPr>
      </w:pPr>
    </w:p>
    <w:p w:rsidR="00F74E0B" w:rsidRPr="00115D22" w:rsidRDefault="00115D22" w:rsidP="007E582E">
      <w:pPr>
        <w:pStyle w:val="ListParagraph"/>
        <w:numPr>
          <w:ilvl w:val="0"/>
          <w:numId w:val="9"/>
        </w:numPr>
        <w:tabs>
          <w:tab w:val="num" w:pos="450"/>
        </w:tabs>
        <w:bidi/>
        <w:spacing w:after="0" w:line="240" w:lineRule="auto"/>
        <w:jc w:val="lowKashida"/>
        <w:rPr>
          <w:rFonts w:cs="Simplified Arabic"/>
          <w:sz w:val="28"/>
          <w:szCs w:val="28"/>
          <w:lang w:bidi="ar-JO"/>
        </w:rPr>
      </w:pPr>
      <w:r>
        <w:rPr>
          <w:rFonts w:cs="Simplified Arabic" w:hint="cs"/>
          <w:b/>
          <w:bCs/>
          <w:sz w:val="28"/>
          <w:szCs w:val="28"/>
          <w:rtl/>
          <w:lang w:bidi="ar-JO"/>
        </w:rPr>
        <w:lastRenderedPageBreak/>
        <w:t>ا</w:t>
      </w:r>
      <w:r w:rsidR="00F74E0B" w:rsidRPr="007E582E">
        <w:rPr>
          <w:rFonts w:cs="Simplified Arabic" w:hint="cs"/>
          <w:b/>
          <w:bCs/>
          <w:sz w:val="28"/>
          <w:szCs w:val="28"/>
          <w:rtl/>
          <w:lang w:bidi="ar-JO"/>
        </w:rPr>
        <w:t>لمجالات المساندة :</w:t>
      </w:r>
      <w:r w:rsidR="00C96612" w:rsidRPr="007E582E">
        <w:rPr>
          <w:rFonts w:cs="Simplified Arabic" w:hint="cs"/>
          <w:b/>
          <w:bCs/>
          <w:sz w:val="28"/>
          <w:szCs w:val="28"/>
          <w:rtl/>
          <w:lang w:bidi="ar-JO"/>
        </w:rPr>
        <w:t xml:space="preserve"> </w:t>
      </w:r>
    </w:p>
    <w:p w:rsidR="00115D22" w:rsidRPr="00115D22" w:rsidRDefault="00115D22" w:rsidP="00115D22">
      <w:pPr>
        <w:tabs>
          <w:tab w:val="num" w:pos="450"/>
        </w:tabs>
        <w:bidi/>
        <w:spacing w:after="0" w:line="240" w:lineRule="auto"/>
        <w:ind w:left="360"/>
        <w:jc w:val="lowKashida"/>
        <w:rPr>
          <w:rFonts w:cs="Simplified Arabic"/>
          <w:sz w:val="28"/>
          <w:szCs w:val="28"/>
          <w:lang w:bidi="ar-JO"/>
        </w:rPr>
      </w:pPr>
    </w:p>
    <w:tbl>
      <w:tblPr>
        <w:bidiVisual/>
        <w:tblW w:w="10080" w:type="dxa"/>
        <w:tblInd w:w="-43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tblPr>
      <w:tblGrid>
        <w:gridCol w:w="6660"/>
        <w:gridCol w:w="3420"/>
      </w:tblGrid>
      <w:tr w:rsidR="00F74E0B" w:rsidRPr="00E70E7B" w:rsidTr="00D13E11">
        <w:tc>
          <w:tcPr>
            <w:tcW w:w="6660" w:type="dxa"/>
            <w:tcBorders>
              <w:top w:val="double" w:sz="12" w:space="0" w:color="auto"/>
              <w:bottom w:val="double" w:sz="12" w:space="0" w:color="auto"/>
              <w:right w:val="double" w:sz="12" w:space="0" w:color="auto"/>
            </w:tcBorders>
            <w:shd w:val="pct20" w:color="auto" w:fill="auto"/>
          </w:tcPr>
          <w:p w:rsidR="00F74E0B" w:rsidRPr="00E70E7B" w:rsidRDefault="00F74E0B" w:rsidP="00F90C91">
            <w:pPr>
              <w:ind w:left="900" w:hanging="360"/>
              <w:jc w:val="center"/>
              <w:rPr>
                <w:rFonts w:cs="Simplified Arabic"/>
                <w:b/>
                <w:bCs/>
                <w:sz w:val="28"/>
                <w:szCs w:val="28"/>
                <w:rtl/>
                <w:lang w:bidi="ar-JO"/>
              </w:rPr>
            </w:pPr>
            <w:r w:rsidRPr="00E70E7B">
              <w:rPr>
                <w:rFonts w:cs="Simplified Arabic" w:hint="cs"/>
                <w:b/>
                <w:bCs/>
                <w:sz w:val="28"/>
                <w:szCs w:val="28"/>
                <w:rtl/>
                <w:lang w:bidi="ar-JO"/>
              </w:rPr>
              <w:t>المجال المعرفي</w:t>
            </w:r>
          </w:p>
        </w:tc>
        <w:tc>
          <w:tcPr>
            <w:tcW w:w="3420" w:type="dxa"/>
            <w:tcBorders>
              <w:top w:val="double" w:sz="12" w:space="0" w:color="auto"/>
              <w:left w:val="double" w:sz="12" w:space="0" w:color="auto"/>
              <w:bottom w:val="double" w:sz="12" w:space="0" w:color="auto"/>
            </w:tcBorders>
            <w:shd w:val="pct20" w:color="auto" w:fill="auto"/>
          </w:tcPr>
          <w:p w:rsidR="00F74E0B" w:rsidRPr="00E70E7B" w:rsidRDefault="00F74E0B" w:rsidP="00F90C91">
            <w:pPr>
              <w:jc w:val="center"/>
              <w:rPr>
                <w:rFonts w:cs="Simplified Arabic"/>
                <w:b/>
                <w:bCs/>
                <w:sz w:val="28"/>
                <w:szCs w:val="28"/>
                <w:rtl/>
                <w:lang w:bidi="ar-JO"/>
              </w:rPr>
            </w:pPr>
            <w:r w:rsidRPr="00E70E7B">
              <w:rPr>
                <w:rFonts w:cs="Simplified Arabic" w:hint="cs"/>
                <w:b/>
                <w:bCs/>
                <w:sz w:val="28"/>
                <w:szCs w:val="28"/>
                <w:rtl/>
                <w:lang w:bidi="ar-JO"/>
              </w:rPr>
              <w:t>الحد الأدنى للساعات المعتمدة</w:t>
            </w:r>
          </w:p>
        </w:tc>
      </w:tr>
      <w:tr w:rsidR="00F74E0B" w:rsidRPr="00E70E7B" w:rsidTr="00D13E11">
        <w:trPr>
          <w:trHeight w:val="405"/>
        </w:trPr>
        <w:tc>
          <w:tcPr>
            <w:tcW w:w="6660" w:type="dxa"/>
            <w:tcBorders>
              <w:top w:val="double" w:sz="12" w:space="0" w:color="auto"/>
            </w:tcBorders>
          </w:tcPr>
          <w:p w:rsidR="00115D22" w:rsidRPr="00115D22" w:rsidRDefault="007E582E" w:rsidP="00115D22">
            <w:pPr>
              <w:pStyle w:val="ListParagraph"/>
              <w:numPr>
                <w:ilvl w:val="0"/>
                <w:numId w:val="10"/>
              </w:numPr>
              <w:bidi/>
              <w:spacing w:after="0" w:line="240" w:lineRule="auto"/>
              <w:jc w:val="lowKashida"/>
              <w:rPr>
                <w:rFonts w:cs="Simplified Arabic"/>
                <w:b/>
                <w:bCs/>
                <w:sz w:val="26"/>
                <w:szCs w:val="26"/>
                <w:rtl/>
                <w:lang w:bidi="ar-JO"/>
              </w:rPr>
            </w:pPr>
            <w:r w:rsidRPr="00115D22">
              <w:rPr>
                <w:rFonts w:cs="Simplified Arabic" w:hint="cs"/>
                <w:b/>
                <w:bCs/>
                <w:sz w:val="26"/>
                <w:szCs w:val="26"/>
                <w:rtl/>
                <w:lang w:bidi="ar-JO"/>
              </w:rPr>
              <w:t>الاحصاء الوصفي والتحليلي</w:t>
            </w:r>
          </w:p>
          <w:p w:rsidR="00F74E0B" w:rsidRPr="00115D22" w:rsidRDefault="007E582E" w:rsidP="00115D22">
            <w:pPr>
              <w:pStyle w:val="ListParagraph"/>
              <w:numPr>
                <w:ilvl w:val="0"/>
                <w:numId w:val="10"/>
              </w:numPr>
              <w:bidi/>
              <w:spacing w:after="0" w:line="240" w:lineRule="auto"/>
              <w:jc w:val="lowKashida"/>
              <w:rPr>
                <w:rFonts w:cs="Simplified Arabic"/>
                <w:b/>
                <w:bCs/>
                <w:sz w:val="26"/>
                <w:szCs w:val="26"/>
                <w:rtl/>
                <w:lang w:bidi="ar-JO"/>
              </w:rPr>
            </w:pPr>
            <w:r w:rsidRPr="00115D22">
              <w:rPr>
                <w:rFonts w:cs="Simplified Arabic" w:hint="cs"/>
                <w:b/>
                <w:bCs/>
                <w:sz w:val="26"/>
                <w:szCs w:val="26"/>
                <w:rtl/>
                <w:lang w:bidi="ar-JO"/>
              </w:rPr>
              <w:t xml:space="preserve"> مناهج البحث 1+2</w:t>
            </w:r>
          </w:p>
        </w:tc>
        <w:tc>
          <w:tcPr>
            <w:tcW w:w="3420" w:type="dxa"/>
            <w:tcBorders>
              <w:top w:val="double" w:sz="12" w:space="0" w:color="auto"/>
            </w:tcBorders>
          </w:tcPr>
          <w:p w:rsidR="00F74E0B" w:rsidRDefault="007E582E" w:rsidP="00115D22">
            <w:pPr>
              <w:spacing w:after="0"/>
              <w:ind w:left="907" w:hanging="360"/>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w:t>
            </w:r>
            <w:r w:rsidR="00115D22">
              <w:rPr>
                <w:rFonts w:asciiTheme="majorBidi" w:hAnsiTheme="majorBidi" w:cstheme="majorBidi" w:hint="cs"/>
                <w:b/>
                <w:bCs/>
                <w:sz w:val="28"/>
                <w:szCs w:val="28"/>
                <w:rtl/>
                <w:lang w:bidi="ar-JO"/>
              </w:rPr>
              <w:t>6</w:t>
            </w:r>
            <w:r>
              <w:rPr>
                <w:rFonts w:asciiTheme="majorBidi" w:hAnsiTheme="majorBidi" w:cstheme="majorBidi" w:hint="cs"/>
                <w:b/>
                <w:bCs/>
                <w:sz w:val="28"/>
                <w:szCs w:val="28"/>
                <w:rtl/>
                <w:lang w:bidi="ar-JO"/>
              </w:rPr>
              <w:t>) ساع</w:t>
            </w:r>
            <w:r w:rsidR="00115D22">
              <w:rPr>
                <w:rFonts w:asciiTheme="majorBidi" w:hAnsiTheme="majorBidi" w:cstheme="majorBidi" w:hint="cs"/>
                <w:b/>
                <w:bCs/>
                <w:sz w:val="28"/>
                <w:szCs w:val="28"/>
                <w:rtl/>
                <w:lang w:bidi="ar-JO"/>
              </w:rPr>
              <w:t>ات</w:t>
            </w:r>
            <w:r>
              <w:rPr>
                <w:rFonts w:asciiTheme="majorBidi" w:hAnsiTheme="majorBidi" w:cstheme="majorBidi" w:hint="cs"/>
                <w:b/>
                <w:bCs/>
                <w:sz w:val="28"/>
                <w:szCs w:val="28"/>
                <w:rtl/>
                <w:lang w:bidi="ar-JO"/>
              </w:rPr>
              <w:t xml:space="preserve"> معتمدة</w:t>
            </w:r>
          </w:p>
          <w:p w:rsidR="00115D22" w:rsidRDefault="00115D22" w:rsidP="00115D22">
            <w:pPr>
              <w:spacing w:after="0"/>
              <w:ind w:left="907" w:hanging="360"/>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(6) ساعات معتمدة</w:t>
            </w:r>
          </w:p>
          <w:p w:rsidR="00115D22" w:rsidRPr="00E70E7B" w:rsidRDefault="00115D22" w:rsidP="00115D22">
            <w:pPr>
              <w:spacing w:after="0"/>
              <w:ind w:left="907" w:hanging="360"/>
              <w:jc w:val="center"/>
              <w:rPr>
                <w:rFonts w:asciiTheme="majorBidi" w:hAnsiTheme="majorBidi" w:cstheme="majorBidi"/>
                <w:b/>
                <w:bCs/>
                <w:sz w:val="28"/>
                <w:szCs w:val="28"/>
                <w:rtl/>
                <w:lang w:bidi="ar-JO"/>
              </w:rPr>
            </w:pPr>
          </w:p>
        </w:tc>
      </w:tr>
    </w:tbl>
    <w:p w:rsidR="00E70E7B" w:rsidRPr="00EB386B" w:rsidRDefault="00E70E7B" w:rsidP="00EB386B">
      <w:pPr>
        <w:bidi/>
        <w:spacing w:after="0" w:line="240" w:lineRule="auto"/>
        <w:jc w:val="lowKashida"/>
        <w:rPr>
          <w:rFonts w:cs="Simplified Arabic"/>
          <w:b/>
          <w:bCs/>
          <w:color w:val="FF0000"/>
          <w:sz w:val="28"/>
          <w:szCs w:val="28"/>
          <w:rtl/>
          <w:lang w:bidi="ar-JO"/>
        </w:rPr>
      </w:pPr>
    </w:p>
    <w:p w:rsidR="00115D22" w:rsidRDefault="005D4915" w:rsidP="00115D22">
      <w:pPr>
        <w:pStyle w:val="ListParagraph"/>
        <w:bidi/>
        <w:spacing w:after="0" w:line="240" w:lineRule="auto"/>
        <w:ind w:left="-180"/>
        <w:jc w:val="lowKashida"/>
        <w:rPr>
          <w:rFonts w:cs="Simplified Arabic"/>
          <w:b/>
          <w:bCs/>
          <w:sz w:val="28"/>
          <w:szCs w:val="28"/>
          <w:rtl/>
          <w:lang w:bidi="ar-JO"/>
        </w:rPr>
      </w:pPr>
      <w:r w:rsidRPr="0043041E">
        <w:rPr>
          <w:rFonts w:cs="Simplified Arabic" w:hint="cs"/>
          <w:b/>
          <w:bCs/>
          <w:sz w:val="28"/>
          <w:szCs w:val="28"/>
          <w:rtl/>
          <w:lang w:bidi="ar-JO"/>
        </w:rPr>
        <w:t xml:space="preserve">ج. </w:t>
      </w:r>
      <w:r w:rsidR="00001010">
        <w:rPr>
          <w:rFonts w:cs="Simplified Arabic" w:hint="cs"/>
          <w:b/>
          <w:bCs/>
          <w:sz w:val="28"/>
          <w:szCs w:val="28"/>
          <w:rtl/>
          <w:lang w:bidi="ar-JO"/>
        </w:rPr>
        <w:t>المجال العملي (التدريب)</w:t>
      </w:r>
      <w:r w:rsidR="00115D22">
        <w:rPr>
          <w:rFonts w:cs="Simplified Arabic" w:hint="cs"/>
          <w:b/>
          <w:bCs/>
          <w:sz w:val="28"/>
          <w:szCs w:val="28"/>
          <w:rtl/>
          <w:lang w:bidi="ar-JO"/>
        </w:rPr>
        <w:t xml:space="preserve">                                                (6 ساعات معتمدة)</w:t>
      </w:r>
    </w:p>
    <w:p w:rsidR="00115D22" w:rsidRDefault="00115D22" w:rsidP="00115D22">
      <w:pPr>
        <w:pStyle w:val="ListParagraph"/>
        <w:bidi/>
        <w:spacing w:after="0" w:line="240" w:lineRule="auto"/>
        <w:ind w:left="-180"/>
        <w:jc w:val="lowKashida"/>
        <w:rPr>
          <w:rFonts w:cs="Simplified Arabic"/>
          <w:b/>
          <w:bCs/>
          <w:sz w:val="28"/>
          <w:szCs w:val="28"/>
          <w:rtl/>
          <w:lang w:bidi="ar-JO"/>
        </w:rPr>
      </w:pPr>
    </w:p>
    <w:p w:rsidR="0035530A" w:rsidRPr="0043041E" w:rsidRDefault="006702C2" w:rsidP="00115D22">
      <w:pPr>
        <w:pStyle w:val="ListParagraph"/>
        <w:bidi/>
        <w:spacing w:after="0" w:line="240" w:lineRule="auto"/>
        <w:ind w:left="-180"/>
        <w:jc w:val="lowKashida"/>
        <w:rPr>
          <w:rFonts w:cs="Simplified Arabic"/>
          <w:b/>
          <w:bCs/>
          <w:sz w:val="28"/>
          <w:szCs w:val="28"/>
          <w:rtl/>
        </w:rPr>
      </w:pPr>
      <w:r>
        <w:rPr>
          <w:rFonts w:cs="Simplified Arabic" w:hint="cs"/>
          <w:b/>
          <w:bCs/>
          <w:sz w:val="28"/>
          <w:szCs w:val="28"/>
          <w:rtl/>
          <w:lang w:bidi="ar-JO"/>
        </w:rPr>
        <w:t xml:space="preserve"> </w:t>
      </w:r>
      <w:r w:rsidR="00EB386B">
        <w:rPr>
          <w:rFonts w:cs="Simplified Arabic" w:hint="cs"/>
          <w:sz w:val="28"/>
          <w:szCs w:val="28"/>
          <w:rtl/>
          <w:lang w:bidi="ar-JO"/>
        </w:rPr>
        <w:t>تكون مدة التدريب ثمانية أسابيع متصلة بعد ان يكمل الطالب (90) ساعة معتمدة على الأقل ويكون الطالب متفرغاً في إحدى المؤسسات المعتمدة وتحت اشراف استاذ من القسم المعني وخارج الأردن (6) أسابيع في احدى المؤسسات المعتمدة ويتولى القسم المعني ضمان تحقيق التدريب للأهداف المنشودة منه وربط اعتماد التدريب بكل مما يلي: الحضور ومدى استفادة المؤسسة من الطلبة وتقرير الطالب وتقرير المؤسسة .</w:t>
      </w:r>
    </w:p>
    <w:p w:rsidR="00454AB0" w:rsidRPr="0043041E" w:rsidRDefault="00454AB0" w:rsidP="00454AB0">
      <w:pPr>
        <w:bidi/>
        <w:spacing w:after="0" w:line="240" w:lineRule="auto"/>
        <w:ind w:left="-180" w:right="-426"/>
        <w:jc w:val="both"/>
        <w:rPr>
          <w:rFonts w:cs="Simplified Arabic"/>
          <w:b/>
          <w:bCs/>
          <w:sz w:val="28"/>
          <w:szCs w:val="28"/>
          <w:rtl/>
        </w:rPr>
      </w:pPr>
    </w:p>
    <w:sectPr w:rsidR="00454AB0" w:rsidRPr="0043041E" w:rsidSect="005A40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C7F" w:rsidRDefault="007C0C7F" w:rsidP="00A76D81">
      <w:pPr>
        <w:spacing w:after="0" w:line="240" w:lineRule="auto"/>
      </w:pPr>
      <w:r>
        <w:separator/>
      </w:r>
    </w:p>
  </w:endnote>
  <w:endnote w:type="continuationSeparator" w:id="1">
    <w:p w:rsidR="007C0C7F" w:rsidRDefault="007C0C7F" w:rsidP="00A76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C7F" w:rsidRDefault="007C0C7F" w:rsidP="00A76D81">
      <w:pPr>
        <w:spacing w:after="0" w:line="240" w:lineRule="auto"/>
      </w:pPr>
      <w:r>
        <w:separator/>
      </w:r>
    </w:p>
  </w:footnote>
  <w:footnote w:type="continuationSeparator" w:id="1">
    <w:p w:rsidR="007C0C7F" w:rsidRDefault="007C0C7F" w:rsidP="00A76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517"/>
    <w:multiLevelType w:val="hybridMultilevel"/>
    <w:tmpl w:val="26D8B0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85302A"/>
    <w:multiLevelType w:val="hybridMultilevel"/>
    <w:tmpl w:val="506A42EA"/>
    <w:lvl w:ilvl="0" w:tplc="2AF66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33A2C"/>
    <w:multiLevelType w:val="hybridMultilevel"/>
    <w:tmpl w:val="976A597C"/>
    <w:lvl w:ilvl="0" w:tplc="4DA048E2">
      <w:start w:val="5"/>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D3242"/>
    <w:multiLevelType w:val="hybridMultilevel"/>
    <w:tmpl w:val="A7BA1AFA"/>
    <w:lvl w:ilvl="0" w:tplc="6D58211E">
      <w:start w:val="8"/>
      <w:numFmt w:val="arabicAlpha"/>
      <w:lvlText w:val="%1."/>
      <w:lvlJc w:val="left"/>
      <w:pPr>
        <w:ind w:left="720" w:hanging="360"/>
      </w:pPr>
      <w:rPr>
        <w:rFonts w:hint="default"/>
        <w:b w:val="0"/>
        <w:bCs/>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60B61"/>
    <w:multiLevelType w:val="hybridMultilevel"/>
    <w:tmpl w:val="E0885988"/>
    <w:lvl w:ilvl="0" w:tplc="4A669338">
      <w:start w:val="1"/>
      <w:numFmt w:val="arabicAlpha"/>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FB5687F"/>
    <w:multiLevelType w:val="hybridMultilevel"/>
    <w:tmpl w:val="06A2D8CA"/>
    <w:lvl w:ilvl="0" w:tplc="5F0E2116">
      <w:start w:val="8"/>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504CC"/>
    <w:multiLevelType w:val="hybridMultilevel"/>
    <w:tmpl w:val="8B04A2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C5D7DF1"/>
    <w:multiLevelType w:val="hybridMultilevel"/>
    <w:tmpl w:val="53DC9E4E"/>
    <w:lvl w:ilvl="0" w:tplc="748489A8">
      <w:start w:val="5"/>
      <w:numFmt w:val="arabicAlpha"/>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D7E49B2"/>
    <w:multiLevelType w:val="hybridMultilevel"/>
    <w:tmpl w:val="7E06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0108A"/>
    <w:multiLevelType w:val="hybridMultilevel"/>
    <w:tmpl w:val="2B5821E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9"/>
  </w:num>
  <w:num w:numId="2">
    <w:abstractNumId w:val="2"/>
  </w:num>
  <w:num w:numId="3">
    <w:abstractNumId w:val="3"/>
  </w:num>
  <w:num w:numId="4">
    <w:abstractNumId w:val="7"/>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74E0B"/>
    <w:rsid w:val="00001010"/>
    <w:rsid w:val="00053415"/>
    <w:rsid w:val="00115D22"/>
    <w:rsid w:val="00120FDE"/>
    <w:rsid w:val="0013525D"/>
    <w:rsid w:val="00161CAD"/>
    <w:rsid w:val="00173D5C"/>
    <w:rsid w:val="001F39E6"/>
    <w:rsid w:val="00203044"/>
    <w:rsid w:val="00273C4A"/>
    <w:rsid w:val="002D35C9"/>
    <w:rsid w:val="002D6DC0"/>
    <w:rsid w:val="002F180A"/>
    <w:rsid w:val="002F2000"/>
    <w:rsid w:val="002F37BE"/>
    <w:rsid w:val="00326B20"/>
    <w:rsid w:val="00330A2A"/>
    <w:rsid w:val="0035292E"/>
    <w:rsid w:val="0035530A"/>
    <w:rsid w:val="003845E6"/>
    <w:rsid w:val="00407FF7"/>
    <w:rsid w:val="004143FE"/>
    <w:rsid w:val="0043041E"/>
    <w:rsid w:val="0044287B"/>
    <w:rsid w:val="00453D94"/>
    <w:rsid w:val="00454AB0"/>
    <w:rsid w:val="004A026C"/>
    <w:rsid w:val="004B0763"/>
    <w:rsid w:val="004B3D52"/>
    <w:rsid w:val="004C2F0F"/>
    <w:rsid w:val="004D0DA4"/>
    <w:rsid w:val="00523220"/>
    <w:rsid w:val="00573CF0"/>
    <w:rsid w:val="00590B5D"/>
    <w:rsid w:val="005A4020"/>
    <w:rsid w:val="005D4915"/>
    <w:rsid w:val="0060214B"/>
    <w:rsid w:val="00605682"/>
    <w:rsid w:val="00615852"/>
    <w:rsid w:val="006702C2"/>
    <w:rsid w:val="00674935"/>
    <w:rsid w:val="00682FF1"/>
    <w:rsid w:val="006A0C32"/>
    <w:rsid w:val="006C78AE"/>
    <w:rsid w:val="006D2129"/>
    <w:rsid w:val="006D30EA"/>
    <w:rsid w:val="006D7E48"/>
    <w:rsid w:val="00715321"/>
    <w:rsid w:val="00743E1C"/>
    <w:rsid w:val="0075264E"/>
    <w:rsid w:val="007746D5"/>
    <w:rsid w:val="00774B1B"/>
    <w:rsid w:val="007C0C7F"/>
    <w:rsid w:val="007D692F"/>
    <w:rsid w:val="007E582E"/>
    <w:rsid w:val="00802EFA"/>
    <w:rsid w:val="00806545"/>
    <w:rsid w:val="0081703B"/>
    <w:rsid w:val="00857664"/>
    <w:rsid w:val="0087003B"/>
    <w:rsid w:val="0089085D"/>
    <w:rsid w:val="008E2A12"/>
    <w:rsid w:val="008F7360"/>
    <w:rsid w:val="0093250C"/>
    <w:rsid w:val="00932FE0"/>
    <w:rsid w:val="0096152C"/>
    <w:rsid w:val="009922BF"/>
    <w:rsid w:val="009C1455"/>
    <w:rsid w:val="009E0A3C"/>
    <w:rsid w:val="009F3504"/>
    <w:rsid w:val="00A10E22"/>
    <w:rsid w:val="00A14E6C"/>
    <w:rsid w:val="00A253E7"/>
    <w:rsid w:val="00A66090"/>
    <w:rsid w:val="00A76D81"/>
    <w:rsid w:val="00AD7B75"/>
    <w:rsid w:val="00AF6B92"/>
    <w:rsid w:val="00B312A5"/>
    <w:rsid w:val="00B42C98"/>
    <w:rsid w:val="00B46F83"/>
    <w:rsid w:val="00B95DB6"/>
    <w:rsid w:val="00B97F2B"/>
    <w:rsid w:val="00BD4120"/>
    <w:rsid w:val="00C20B75"/>
    <w:rsid w:val="00C2632F"/>
    <w:rsid w:val="00C532CF"/>
    <w:rsid w:val="00C64990"/>
    <w:rsid w:val="00C82488"/>
    <w:rsid w:val="00C91D5D"/>
    <w:rsid w:val="00C96612"/>
    <w:rsid w:val="00CB5809"/>
    <w:rsid w:val="00CC580D"/>
    <w:rsid w:val="00D13E11"/>
    <w:rsid w:val="00D21832"/>
    <w:rsid w:val="00D40146"/>
    <w:rsid w:val="00D8120A"/>
    <w:rsid w:val="00D816F6"/>
    <w:rsid w:val="00D87A5A"/>
    <w:rsid w:val="00D96625"/>
    <w:rsid w:val="00DA7E36"/>
    <w:rsid w:val="00DB1262"/>
    <w:rsid w:val="00DD4986"/>
    <w:rsid w:val="00E053AF"/>
    <w:rsid w:val="00E11F6A"/>
    <w:rsid w:val="00E1607B"/>
    <w:rsid w:val="00E2085B"/>
    <w:rsid w:val="00E35897"/>
    <w:rsid w:val="00E66D76"/>
    <w:rsid w:val="00E70E7B"/>
    <w:rsid w:val="00E759DC"/>
    <w:rsid w:val="00E8317C"/>
    <w:rsid w:val="00E95598"/>
    <w:rsid w:val="00EB2AAB"/>
    <w:rsid w:val="00EB386B"/>
    <w:rsid w:val="00F0195F"/>
    <w:rsid w:val="00F027F7"/>
    <w:rsid w:val="00F2138C"/>
    <w:rsid w:val="00F41F0E"/>
    <w:rsid w:val="00F443C6"/>
    <w:rsid w:val="00F74E0B"/>
    <w:rsid w:val="00FA64D6"/>
    <w:rsid w:val="00FE55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20"/>
  </w:style>
  <w:style w:type="paragraph" w:styleId="Heading3">
    <w:name w:val="heading 3"/>
    <w:basedOn w:val="Normal"/>
    <w:next w:val="Normal"/>
    <w:link w:val="Heading3Char"/>
    <w:semiHidden/>
    <w:unhideWhenUsed/>
    <w:qFormat/>
    <w:rsid w:val="00C91D5D"/>
    <w:pPr>
      <w:keepNext/>
      <w:bidi/>
      <w:spacing w:before="240" w:after="60" w:line="240" w:lineRule="auto"/>
      <w:outlineLvl w:val="2"/>
    </w:pPr>
    <w:rPr>
      <w:rFonts w:ascii="Arial" w:eastAsia="Times New Roman"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0B"/>
    <w:pPr>
      <w:ind w:left="720"/>
      <w:contextualSpacing/>
    </w:pPr>
  </w:style>
  <w:style w:type="paragraph" w:styleId="Header">
    <w:name w:val="header"/>
    <w:basedOn w:val="Normal"/>
    <w:link w:val="HeaderChar"/>
    <w:uiPriority w:val="99"/>
    <w:semiHidden/>
    <w:unhideWhenUsed/>
    <w:rsid w:val="00A76D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D81"/>
  </w:style>
  <w:style w:type="paragraph" w:styleId="Footer">
    <w:name w:val="footer"/>
    <w:basedOn w:val="Normal"/>
    <w:link w:val="FooterChar"/>
    <w:uiPriority w:val="99"/>
    <w:semiHidden/>
    <w:unhideWhenUsed/>
    <w:rsid w:val="00A76D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D81"/>
  </w:style>
  <w:style w:type="paragraph" w:styleId="BalloonText">
    <w:name w:val="Balloon Text"/>
    <w:basedOn w:val="Normal"/>
    <w:link w:val="BalloonTextChar"/>
    <w:uiPriority w:val="99"/>
    <w:semiHidden/>
    <w:unhideWhenUsed/>
    <w:rsid w:val="00A7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81"/>
    <w:rPr>
      <w:rFonts w:ascii="Tahoma" w:hAnsi="Tahoma" w:cs="Tahoma"/>
      <w:sz w:val="16"/>
      <w:szCs w:val="16"/>
    </w:rPr>
  </w:style>
  <w:style w:type="character" w:customStyle="1" w:styleId="Heading3Char">
    <w:name w:val="Heading 3 Char"/>
    <w:basedOn w:val="DefaultParagraphFont"/>
    <w:link w:val="Heading3"/>
    <w:semiHidden/>
    <w:rsid w:val="00C91D5D"/>
    <w:rPr>
      <w:rFonts w:ascii="Arial" w:eastAsia="Times New Roman" w:hAnsi="Arial" w:cs="Arial"/>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1156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F06DE0A1D72429135DCEBC98E6F87" ma:contentTypeVersion="7" ma:contentTypeDescription="Create a new document." ma:contentTypeScope="" ma:versionID="a1e55c6e780b83d7392e8505344fb16c">
  <xsd:schema xmlns:xsd="http://www.w3.org/2001/XMLSchema" xmlns:xs="http://www.w3.org/2001/XMLSchema" xmlns:p="http://schemas.microsoft.com/office/2006/metadata/properties" xmlns:ns2="4c854669-c37d-4e1c-9895-ff9cd39da670" xmlns:ns3="0f61c802-2bd1-4e37-8e3d-c870a5d9619a" xmlns:ns4="263820e7-c599-4540-99e9-e95c8837992d" targetNamespace="http://schemas.microsoft.com/office/2006/metadata/properties" ma:root="true" ma:fieldsID="0810ffc1069f30a1521bbcfe5a6380a6" ns2:_="" ns3:_="" ns4:_="">
    <xsd:import namespace="4c854669-c37d-4e1c-9895-ff9cd39da670"/>
    <xsd:import namespace="0f61c802-2bd1-4e37-8e3d-c870a5d9619a"/>
    <xsd:import namespace="263820e7-c599-4540-99e9-e95c8837992d"/>
    <xsd:element name="properties">
      <xsd:complexType>
        <xsd:sequence>
          <xsd:element name="documentManagement">
            <xsd:complexType>
              <xsd:all>
                <xsd:element ref="ns2:_dlc_DocId" minOccurs="0"/>
                <xsd:element ref="ns2:_dlc_DocIdUrl" minOccurs="0"/>
                <xsd:element ref="ns2:_dlc_DocIdPersistId" minOccurs="0"/>
                <xsd:element ref="ns3:AccreditationType"/>
                <xsd:element ref="ns3:Description0" minOccurs="0"/>
                <xsd:element ref="ns4:Faculty" minOccurs="0"/>
                <xsd:element ref="ns4:Faculty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61c802-2bd1-4e37-8e3d-c870a5d9619a" elementFormDefault="qualified">
    <xsd:import namespace="http://schemas.microsoft.com/office/2006/documentManagement/types"/>
    <xsd:import namespace="http://schemas.microsoft.com/office/infopath/2007/PartnerControls"/>
    <xsd:element name="AccreditationType" ma:index="11" ma:displayName="AccreditationType" ma:default="1.General Accreditation" ma:format="Dropdown" ma:internalName="AccreditationType">
      <xsd:simpleType>
        <xsd:restriction base="dms:Choice">
          <xsd:enumeration value="1.General Accreditation"/>
          <xsd:enumeration value="2.Standards of Scientific Faculties"/>
          <xsd:enumeration value="3.Standards of Health Faculties"/>
          <xsd:enumeration value="4.Standards of Humanities Faculties"/>
          <xsd:enumeration value="5.Other Standards"/>
        </xsd:restriction>
      </xsd:simpleType>
    </xsd:element>
    <xsd:element name="Description0" ma:index="1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820e7-c599-4540-99e9-e95c8837992d" elementFormDefault="qualified">
    <xsd:import namespace="http://schemas.microsoft.com/office/2006/documentManagement/types"/>
    <xsd:import namespace="http://schemas.microsoft.com/office/infopath/2007/PartnerControls"/>
    <xsd:element name="Faculty" ma:index="13" nillable="true" ma:displayName="Faculty" ma:list="{9a597c2a-20b2-4147-af78-7c2acac37003}" ma:internalName="Faculty" ma:showField="Title">
      <xsd:simpleType>
        <xsd:restriction base="dms:Lookup"/>
      </xsd:simpleType>
    </xsd:element>
    <xsd:element name="Faculty_x003a_Title" ma:index="14" nillable="true" ma:displayName="Faculty:Title" ma:list="{9a597c2a-20b2-4147-af78-7c2acac37003}" ma:internalName="Faculty_x003a_Title" ma:readOnly="true" ma:showField="Title"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ccreditationType xmlns="0f61c802-2bd1-4e37-8e3d-c870a5d9619a">5.Other Standards</AccreditationType>
    <Description0 xmlns="0f61c802-2bd1-4e37-8e3d-c870a5d9619a">Instructions and standards of special accreditation for Crime specialization/ Higher Education Accreditation Commission  </Description0>
    <_dlc_DocId xmlns="4c854669-c37d-4e1c-9895-ff9cd39da670">CJCARFC42DW7-1-123</_dlc_DocId>
    <_dlc_DocIdUrl xmlns="4c854669-c37d-4e1c-9895-ff9cd39da670">
      <Url>https://sites.ju.edu.jo/ar/pqmc/_layouts/DocIdRedir.aspx?ID=CJCARFC42DW7-1-123</Url>
      <Description>CJCARFC42DW7-1-123</Description>
    </_dlc_DocIdUrl>
    <Faculty xmlns="263820e7-c599-4540-99e9-e95c8837992d">32</Faculty>
  </documentManagement>
</p:properties>
</file>

<file path=customXml/itemProps1.xml><?xml version="1.0" encoding="utf-8"?>
<ds:datastoreItem xmlns:ds="http://schemas.openxmlformats.org/officeDocument/2006/customXml" ds:itemID="{459D6122-A500-40A9-B36A-1F1DF8267B40}"/>
</file>

<file path=customXml/itemProps2.xml><?xml version="1.0" encoding="utf-8"?>
<ds:datastoreItem xmlns:ds="http://schemas.openxmlformats.org/officeDocument/2006/customXml" ds:itemID="{FD320BF3-B12B-45A8-877E-D8B993AF159C}"/>
</file>

<file path=customXml/itemProps3.xml><?xml version="1.0" encoding="utf-8"?>
<ds:datastoreItem xmlns:ds="http://schemas.openxmlformats.org/officeDocument/2006/customXml" ds:itemID="{2EE3D5C6-79B6-4BAB-A0A4-DD75AA222B71}"/>
</file>

<file path=customXml/itemProps4.xml><?xml version="1.0" encoding="utf-8"?>
<ds:datastoreItem xmlns:ds="http://schemas.openxmlformats.org/officeDocument/2006/customXml" ds:itemID="{0281407C-230A-43E6-BECC-BAABAA645E5A}"/>
</file>

<file path=customXml/itemProps5.xml><?xml version="1.0" encoding="utf-8"?>
<ds:datastoreItem xmlns:ds="http://schemas.openxmlformats.org/officeDocument/2006/customXml" ds:itemID="{8C16AF84-D581-47D6-A4D7-41FCB3B6AD7B}"/>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standards of special accreditation for Crime specialization</dc:title>
  <dc:creator>d.tarawneh</dc:creator>
  <cp:lastModifiedBy>njudepc</cp:lastModifiedBy>
  <cp:revision>2</cp:revision>
  <cp:lastPrinted>2014-10-15T07:07:00Z</cp:lastPrinted>
  <dcterms:created xsi:type="dcterms:W3CDTF">2014-12-15T07:03:00Z</dcterms:created>
  <dcterms:modified xsi:type="dcterms:W3CDTF">2014-12-15T07:03:00Z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0x010100E58F06DE0A1D72429135DCEBC98E6F87</vt:lpwstr>
  </property>
  <property fmtid="{D5CDD505-2E9C-101B-9397-08002B2CF9AE}" pid="3" name="_dlc_DocIdItemGuid">
    <vt:lpwstr>c7f043a1-7a63-4f2f-a041-86d2f7adabdb</vt:lpwstr>
  </property>
</Properties>
</file>